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E" w:rsidRPr="005C51B1" w:rsidRDefault="00BB1799" w:rsidP="00820B6C">
      <w:pPr>
        <w:spacing w:after="0" w:line="276" w:lineRule="auto"/>
        <w:ind w:right="5"/>
        <w:jc w:val="center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REGIMENTO INTERNO DODEPARTAMENTO DE NARRADORES</w:t>
      </w:r>
    </w:p>
    <w:p w:rsidR="00E4019E" w:rsidRPr="005C51B1" w:rsidRDefault="00E4019E" w:rsidP="00820B6C">
      <w:pPr>
        <w:spacing w:after="0" w:line="276" w:lineRule="auto"/>
        <w:ind w:left="57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84233E" w:rsidP="0084233E">
      <w:pPr>
        <w:spacing w:after="0" w:line="276" w:lineRule="auto"/>
        <w:ind w:right="842"/>
        <w:jc w:val="center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CAPÍTULO I</w:t>
      </w:r>
    </w:p>
    <w:p w:rsidR="00E4019E" w:rsidRPr="005C51B1" w:rsidRDefault="0084233E" w:rsidP="0084233E">
      <w:pPr>
        <w:spacing w:after="0" w:line="276" w:lineRule="auto"/>
        <w:ind w:left="0" w:right="849" w:firstLine="0"/>
        <w:jc w:val="center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NORMAS GERAIS</w:t>
      </w:r>
    </w:p>
    <w:p w:rsidR="00E4019E" w:rsidRPr="005C51B1" w:rsidRDefault="00E4019E" w:rsidP="00820B6C">
      <w:pPr>
        <w:spacing w:after="0" w:line="276" w:lineRule="auto"/>
        <w:ind w:left="840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BB1799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1º.  </w:t>
      </w:r>
      <w:r w:rsidR="0084233E" w:rsidRPr="005C51B1">
        <w:rPr>
          <w:rFonts w:ascii="Arial" w:hAnsi="Arial" w:cs="Arial"/>
          <w:color w:val="auto"/>
          <w:szCs w:val="24"/>
        </w:rPr>
        <w:t>Ficar criado o regimento interno do d</w:t>
      </w:r>
      <w:r w:rsidR="001B0810" w:rsidRPr="005C51B1">
        <w:rPr>
          <w:rFonts w:ascii="Arial" w:hAnsi="Arial" w:cs="Arial"/>
          <w:color w:val="auto"/>
          <w:szCs w:val="24"/>
        </w:rPr>
        <w:t xml:space="preserve">epartamento tem por finalidade disciplinar e organizar o trabalho dos </w:t>
      </w:r>
      <w:r w:rsidRPr="005C51B1">
        <w:rPr>
          <w:rFonts w:ascii="Arial" w:hAnsi="Arial" w:cs="Arial"/>
          <w:color w:val="auto"/>
          <w:szCs w:val="24"/>
        </w:rPr>
        <w:t xml:space="preserve">narradores, </w:t>
      </w:r>
      <w:r w:rsidR="001B0810" w:rsidRPr="005C51B1">
        <w:rPr>
          <w:rFonts w:ascii="Arial" w:hAnsi="Arial" w:cs="Arial"/>
          <w:color w:val="auto"/>
          <w:szCs w:val="24"/>
        </w:rPr>
        <w:t>visando</w:t>
      </w:r>
      <w:r w:rsidRPr="005C51B1">
        <w:rPr>
          <w:rFonts w:ascii="Arial" w:hAnsi="Arial" w:cs="Arial"/>
          <w:color w:val="auto"/>
          <w:szCs w:val="24"/>
        </w:rPr>
        <w:t xml:space="preserve"> priorizar pela qualidade profissional e moral dos seus integrant</w:t>
      </w:r>
      <w:bookmarkStart w:id="0" w:name="_GoBack"/>
      <w:bookmarkEnd w:id="0"/>
      <w:r w:rsidRPr="005C51B1">
        <w:rPr>
          <w:rFonts w:ascii="Arial" w:hAnsi="Arial" w:cs="Arial"/>
          <w:color w:val="auto"/>
          <w:szCs w:val="24"/>
        </w:rPr>
        <w:t>es</w:t>
      </w:r>
      <w:r w:rsidR="001B0810" w:rsidRPr="005C51B1">
        <w:rPr>
          <w:rFonts w:ascii="Arial" w:hAnsi="Arial" w:cs="Arial"/>
          <w:color w:val="auto"/>
          <w:szCs w:val="24"/>
        </w:rPr>
        <w:t>.</w:t>
      </w:r>
    </w:p>
    <w:p w:rsidR="00E4019E" w:rsidRPr="005C51B1" w:rsidRDefault="00E4019E" w:rsidP="00820B6C">
      <w:pPr>
        <w:spacing w:after="0" w:line="276" w:lineRule="auto"/>
        <w:ind w:left="57" w:right="0" w:firstLine="0"/>
        <w:rPr>
          <w:rFonts w:ascii="Arial" w:hAnsi="Arial" w:cs="Arial"/>
          <w:b/>
          <w:color w:val="auto"/>
          <w:szCs w:val="24"/>
        </w:rPr>
      </w:pPr>
    </w:p>
    <w:p w:rsidR="00E4019E" w:rsidRPr="005C51B1" w:rsidRDefault="00BB1799" w:rsidP="0084233E">
      <w:pPr>
        <w:spacing w:after="0" w:line="276" w:lineRule="auto"/>
        <w:ind w:left="-15" w:right="-9" w:firstLine="723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84233E" w:rsidRPr="005C51B1">
        <w:rPr>
          <w:rFonts w:ascii="Arial" w:hAnsi="Arial" w:cs="Arial"/>
          <w:color w:val="auto"/>
          <w:szCs w:val="24"/>
        </w:rPr>
        <w:t>2º</w:t>
      </w:r>
      <w:r w:rsidRPr="005C51B1">
        <w:rPr>
          <w:rFonts w:ascii="Arial" w:hAnsi="Arial" w:cs="Arial"/>
          <w:color w:val="auto"/>
          <w:szCs w:val="24"/>
        </w:rPr>
        <w:t xml:space="preserve"> -</w:t>
      </w:r>
      <w:r w:rsidR="00FC4863">
        <w:rPr>
          <w:rFonts w:ascii="Arial" w:hAnsi="Arial" w:cs="Arial"/>
          <w:color w:val="auto"/>
          <w:szCs w:val="24"/>
        </w:rPr>
        <w:t xml:space="preserve"> </w:t>
      </w:r>
      <w:r w:rsidR="0084233E" w:rsidRPr="005C51B1">
        <w:rPr>
          <w:rFonts w:ascii="Arial" w:hAnsi="Arial" w:cs="Arial"/>
          <w:color w:val="auto"/>
          <w:szCs w:val="24"/>
        </w:rPr>
        <w:t xml:space="preserve">O Presidente do MTG/PR indicará dentre os narradores credenciados </w:t>
      </w:r>
      <w:r w:rsidR="00B31BD5" w:rsidRPr="005C51B1">
        <w:rPr>
          <w:rFonts w:ascii="Arial" w:hAnsi="Arial" w:cs="Arial"/>
          <w:color w:val="auto"/>
          <w:szCs w:val="24"/>
        </w:rPr>
        <w:t>um para ser diretor do departamento de narradores</w:t>
      </w:r>
      <w:r w:rsidR="0084233E" w:rsidRPr="005C51B1">
        <w:rPr>
          <w:rFonts w:ascii="Arial" w:hAnsi="Arial" w:cs="Arial"/>
          <w:color w:val="auto"/>
          <w:szCs w:val="24"/>
        </w:rPr>
        <w:t xml:space="preserve">. </w:t>
      </w:r>
    </w:p>
    <w:p w:rsidR="00A105B6" w:rsidRPr="005C51B1" w:rsidRDefault="00A105B6" w:rsidP="0084233E">
      <w:pPr>
        <w:spacing w:after="0" w:line="276" w:lineRule="auto"/>
        <w:ind w:right="0" w:firstLine="698"/>
        <w:rPr>
          <w:rFonts w:ascii="Arial" w:hAnsi="Arial" w:cs="Arial"/>
          <w:color w:val="auto"/>
          <w:szCs w:val="24"/>
        </w:rPr>
      </w:pPr>
    </w:p>
    <w:p w:rsidR="00E82574" w:rsidRPr="005C51B1" w:rsidRDefault="006F26A8" w:rsidP="00A105B6">
      <w:pPr>
        <w:spacing w:line="276" w:lineRule="auto"/>
        <w:ind w:left="-15" w:right="0" w:firstLine="723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A105B6" w:rsidRPr="005C51B1">
        <w:rPr>
          <w:rFonts w:ascii="Arial" w:hAnsi="Arial" w:cs="Arial"/>
          <w:color w:val="auto"/>
          <w:szCs w:val="24"/>
        </w:rPr>
        <w:t>3º</w:t>
      </w:r>
      <w:r w:rsidR="00E82574" w:rsidRPr="005C51B1">
        <w:rPr>
          <w:rFonts w:ascii="Arial" w:hAnsi="Arial" w:cs="Arial"/>
          <w:color w:val="auto"/>
          <w:szCs w:val="24"/>
        </w:rPr>
        <w:t xml:space="preserve"> - O </w:t>
      </w:r>
      <w:r w:rsidR="00B31BD5" w:rsidRPr="005C51B1">
        <w:rPr>
          <w:rFonts w:ascii="Arial" w:hAnsi="Arial" w:cs="Arial"/>
          <w:color w:val="auto"/>
          <w:szCs w:val="24"/>
        </w:rPr>
        <w:t>Diretor</w:t>
      </w:r>
      <w:r w:rsidR="00FC4863">
        <w:rPr>
          <w:rFonts w:ascii="Arial" w:hAnsi="Arial" w:cs="Arial"/>
          <w:color w:val="auto"/>
          <w:szCs w:val="24"/>
        </w:rPr>
        <w:t xml:space="preserve"> Regional dos Narradores será</w:t>
      </w:r>
      <w:r w:rsidR="00E82574" w:rsidRPr="005C51B1">
        <w:rPr>
          <w:rFonts w:ascii="Arial" w:hAnsi="Arial" w:cs="Arial"/>
          <w:color w:val="auto"/>
          <w:szCs w:val="24"/>
        </w:rPr>
        <w:t xml:space="preserve"> indicado</w:t>
      </w:r>
      <w:r w:rsidR="009F674B" w:rsidRPr="005C51B1">
        <w:rPr>
          <w:rFonts w:ascii="Arial" w:hAnsi="Arial" w:cs="Arial"/>
          <w:color w:val="auto"/>
          <w:szCs w:val="24"/>
        </w:rPr>
        <w:t xml:space="preserve"> pelo Coordenador da Região Tradicionalista e posteriormente será avaliado para a aprovação pelo Diretor do Departamento Estadual.</w:t>
      </w:r>
    </w:p>
    <w:p w:rsidR="00E82574" w:rsidRPr="005C51B1" w:rsidRDefault="00E82574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</w:p>
    <w:p w:rsidR="00E4019E" w:rsidRPr="005C51B1" w:rsidRDefault="00A105B6" w:rsidP="00A105B6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.  </w:t>
      </w:r>
    </w:p>
    <w:p w:rsidR="00E4019E" w:rsidRPr="005C51B1" w:rsidRDefault="00A105B6" w:rsidP="00820B6C">
      <w:pPr>
        <w:spacing w:after="0" w:line="276" w:lineRule="auto"/>
        <w:ind w:left="849" w:right="1"/>
        <w:jc w:val="center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CAPÍTULO V</w:t>
      </w:r>
    </w:p>
    <w:p w:rsidR="00E4019E" w:rsidRPr="005C51B1" w:rsidRDefault="00A105B6" w:rsidP="00820B6C">
      <w:pPr>
        <w:tabs>
          <w:tab w:val="center" w:pos="4955"/>
        </w:tabs>
        <w:spacing w:after="0" w:line="276" w:lineRule="auto"/>
        <w:ind w:left="849" w:right="5"/>
        <w:jc w:val="center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 xml:space="preserve">DOS CREDENCIAMENTOS E </w:t>
      </w:r>
      <w:r w:rsidRPr="005C51B1">
        <w:rPr>
          <w:rFonts w:ascii="Arial" w:hAnsi="Arial" w:cs="Arial"/>
          <w:b/>
          <w:color w:val="auto"/>
          <w:szCs w:val="24"/>
        </w:rPr>
        <w:tab/>
        <w:t xml:space="preserve"> DESCREDENCIAMENTOS</w:t>
      </w:r>
    </w:p>
    <w:p w:rsidR="00E4019E" w:rsidRPr="005C51B1" w:rsidRDefault="00E4019E" w:rsidP="00820B6C">
      <w:pPr>
        <w:spacing w:after="0" w:line="276" w:lineRule="auto"/>
        <w:ind w:left="897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A105B6" w:rsidP="00820B6C">
      <w:pPr>
        <w:spacing w:after="0" w:line="276" w:lineRule="auto"/>
        <w:ind w:left="848" w:right="3"/>
        <w:jc w:val="center"/>
        <w:rPr>
          <w:rFonts w:ascii="Arial" w:hAnsi="Arial" w:cs="Arial"/>
          <w:b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SEÇÃO I</w:t>
      </w:r>
    </w:p>
    <w:p w:rsidR="00E4019E" w:rsidRPr="005C51B1" w:rsidRDefault="00A105B6" w:rsidP="00820B6C">
      <w:pPr>
        <w:spacing w:after="0" w:line="276" w:lineRule="auto"/>
        <w:ind w:left="849" w:right="8"/>
        <w:jc w:val="center"/>
        <w:rPr>
          <w:rFonts w:ascii="Arial" w:hAnsi="Arial" w:cs="Arial"/>
          <w:b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DO CREDENCIAMENTO</w:t>
      </w:r>
    </w:p>
    <w:p w:rsidR="009F674B" w:rsidRPr="005C51B1" w:rsidRDefault="009F674B" w:rsidP="00820B6C">
      <w:pPr>
        <w:spacing w:after="0" w:line="276" w:lineRule="auto"/>
        <w:ind w:left="849" w:right="8"/>
        <w:jc w:val="center"/>
        <w:rPr>
          <w:rFonts w:ascii="Arial" w:hAnsi="Arial" w:cs="Arial"/>
          <w:color w:val="auto"/>
          <w:szCs w:val="24"/>
        </w:rPr>
      </w:pPr>
    </w:p>
    <w:p w:rsidR="00E4019E" w:rsidRPr="005C51B1" w:rsidRDefault="006F26A8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   Art. </w:t>
      </w:r>
      <w:r w:rsidR="00A105B6" w:rsidRPr="005C51B1">
        <w:rPr>
          <w:rFonts w:ascii="Arial" w:hAnsi="Arial" w:cs="Arial"/>
          <w:color w:val="auto"/>
          <w:szCs w:val="24"/>
        </w:rPr>
        <w:t>4º</w:t>
      </w:r>
      <w:r w:rsidR="00BB1799" w:rsidRPr="005C51B1">
        <w:rPr>
          <w:rFonts w:ascii="Arial" w:hAnsi="Arial" w:cs="Arial"/>
          <w:color w:val="auto"/>
          <w:szCs w:val="24"/>
        </w:rPr>
        <w:t xml:space="preserve"> - Poderão ser credenciados como narradores todos os candidatos maiores</w:t>
      </w:r>
      <w:r w:rsidR="009F674B" w:rsidRPr="005C51B1">
        <w:rPr>
          <w:rFonts w:ascii="Arial" w:hAnsi="Arial" w:cs="Arial"/>
          <w:color w:val="auto"/>
          <w:szCs w:val="24"/>
        </w:rPr>
        <w:t xml:space="preserve"> de 18 (dezoito) anos </w:t>
      </w:r>
      <w:r w:rsidR="00BB1799" w:rsidRPr="005C51B1">
        <w:rPr>
          <w:rFonts w:ascii="Arial" w:hAnsi="Arial" w:cs="Arial"/>
          <w:color w:val="auto"/>
          <w:szCs w:val="24"/>
        </w:rPr>
        <w:t xml:space="preserve">ou se menores apresentarem autorização do representante legal e que encaminharem à secretaria do departamento os seguintes documentos: </w:t>
      </w:r>
    </w:p>
    <w:p w:rsidR="00E4019E" w:rsidRPr="005C51B1" w:rsidRDefault="00BB1799" w:rsidP="00820B6C">
      <w:pPr>
        <w:numPr>
          <w:ilvl w:val="0"/>
          <w:numId w:val="18"/>
        </w:numPr>
        <w:spacing w:line="276" w:lineRule="auto"/>
        <w:ind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- </w:t>
      </w:r>
      <w:r w:rsidR="00B31BD5" w:rsidRPr="005C51B1">
        <w:rPr>
          <w:rFonts w:ascii="Arial" w:hAnsi="Arial" w:cs="Arial"/>
          <w:color w:val="auto"/>
          <w:szCs w:val="24"/>
        </w:rPr>
        <w:t>Estar devidamente associado a um CTG com seu cadastro no MTG PR aprovado pelo Patrão do CTG e Coordenador Regional</w:t>
      </w:r>
    </w:p>
    <w:p w:rsidR="00E4019E" w:rsidRPr="005C51B1" w:rsidRDefault="009F674B" w:rsidP="00820B6C">
      <w:pPr>
        <w:numPr>
          <w:ilvl w:val="0"/>
          <w:numId w:val="18"/>
        </w:numPr>
        <w:spacing w:line="276" w:lineRule="auto"/>
        <w:ind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>–Indicação do CTG a que pertence o Narrador,</w:t>
      </w:r>
    </w:p>
    <w:p w:rsidR="00E4019E" w:rsidRPr="005C51B1" w:rsidRDefault="00BB1799" w:rsidP="00820B6C">
      <w:pPr>
        <w:numPr>
          <w:ilvl w:val="0"/>
          <w:numId w:val="18"/>
        </w:numPr>
        <w:spacing w:line="276" w:lineRule="auto"/>
        <w:ind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- Parecer do Coordenador da Região </w:t>
      </w:r>
      <w:r w:rsidR="009C2D56" w:rsidRPr="005C51B1">
        <w:rPr>
          <w:rFonts w:ascii="Arial" w:hAnsi="Arial" w:cs="Arial"/>
          <w:color w:val="auto"/>
          <w:szCs w:val="24"/>
        </w:rPr>
        <w:t xml:space="preserve">do CTG que </w:t>
      </w:r>
      <w:r w:rsidRPr="005C51B1">
        <w:rPr>
          <w:rFonts w:ascii="Arial" w:hAnsi="Arial" w:cs="Arial"/>
          <w:color w:val="auto"/>
          <w:szCs w:val="24"/>
        </w:rPr>
        <w:t>o narrador</w:t>
      </w:r>
      <w:r w:rsidR="009C2D56" w:rsidRPr="005C51B1">
        <w:rPr>
          <w:rFonts w:ascii="Arial" w:hAnsi="Arial" w:cs="Arial"/>
          <w:color w:val="auto"/>
          <w:szCs w:val="24"/>
        </w:rPr>
        <w:t xml:space="preserve"> esta associado</w:t>
      </w:r>
      <w:r w:rsidR="00FC4863">
        <w:rPr>
          <w:rFonts w:ascii="Arial" w:hAnsi="Arial" w:cs="Arial"/>
          <w:color w:val="auto"/>
          <w:szCs w:val="24"/>
        </w:rPr>
        <w:t>.</w:t>
      </w:r>
    </w:p>
    <w:p w:rsidR="00E4019E" w:rsidRPr="005C51B1" w:rsidRDefault="00E4019E" w:rsidP="00820B6C">
      <w:pPr>
        <w:spacing w:after="0" w:line="276" w:lineRule="auto"/>
        <w:ind w:left="840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BB1799" w:rsidP="00820B6C">
      <w:pPr>
        <w:spacing w:after="0" w:line="276" w:lineRule="auto"/>
        <w:ind w:right="0" w:firstLine="698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A105B6" w:rsidRPr="005C51B1">
        <w:rPr>
          <w:rFonts w:ascii="Arial" w:hAnsi="Arial" w:cs="Arial"/>
          <w:color w:val="auto"/>
          <w:szCs w:val="24"/>
        </w:rPr>
        <w:t>5º</w:t>
      </w:r>
      <w:r w:rsidRPr="005C51B1">
        <w:rPr>
          <w:rFonts w:ascii="Arial" w:hAnsi="Arial" w:cs="Arial"/>
          <w:color w:val="auto"/>
          <w:szCs w:val="24"/>
        </w:rPr>
        <w:t xml:space="preserve"> - Os candidatos inscritos conforme o disposto no artigo anterior</w:t>
      </w:r>
      <w:r w:rsidR="00FC4863" w:rsidRPr="005C51B1">
        <w:rPr>
          <w:rFonts w:ascii="Arial" w:hAnsi="Arial" w:cs="Arial"/>
          <w:color w:val="auto"/>
          <w:szCs w:val="24"/>
        </w:rPr>
        <w:t xml:space="preserve"> será submetido</w:t>
      </w:r>
      <w:r w:rsidRPr="005C51B1">
        <w:rPr>
          <w:rFonts w:ascii="Arial" w:hAnsi="Arial" w:cs="Arial"/>
          <w:color w:val="auto"/>
          <w:szCs w:val="24"/>
        </w:rPr>
        <w:t xml:space="preserve"> </w:t>
      </w:r>
      <w:r w:rsidR="00AF3659" w:rsidRPr="005C51B1">
        <w:rPr>
          <w:rFonts w:ascii="Arial" w:hAnsi="Arial" w:cs="Arial"/>
          <w:color w:val="auto"/>
          <w:szCs w:val="24"/>
        </w:rPr>
        <w:t>a</w:t>
      </w:r>
      <w:r w:rsidRPr="005C51B1">
        <w:rPr>
          <w:rFonts w:ascii="Arial" w:hAnsi="Arial" w:cs="Arial"/>
          <w:color w:val="auto"/>
          <w:szCs w:val="24"/>
        </w:rPr>
        <w:t xml:space="preserve"> um teste, sendo o mesmo dividido em duas partes: escrito </w:t>
      </w:r>
      <w:r w:rsidR="009F674B" w:rsidRPr="005C51B1">
        <w:rPr>
          <w:rFonts w:ascii="Arial" w:hAnsi="Arial" w:cs="Arial"/>
          <w:color w:val="auto"/>
          <w:szCs w:val="24"/>
        </w:rPr>
        <w:t xml:space="preserve">e </w:t>
      </w:r>
      <w:r w:rsidRPr="005C51B1">
        <w:rPr>
          <w:rFonts w:ascii="Arial" w:hAnsi="Arial" w:cs="Arial"/>
          <w:color w:val="auto"/>
          <w:szCs w:val="24"/>
        </w:rPr>
        <w:t xml:space="preserve">uma parte pratica.  </w:t>
      </w:r>
    </w:p>
    <w:p w:rsidR="00E4019E" w:rsidRPr="005C51B1" w:rsidRDefault="00BB1799" w:rsidP="00A105B6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§1° - Os testes serão aplicados pela Diretoria anualmente; devendo a Diretoria do </w:t>
      </w:r>
      <w:r w:rsidR="00AF3659" w:rsidRPr="005C51B1">
        <w:rPr>
          <w:rFonts w:ascii="Arial" w:hAnsi="Arial" w:cs="Arial"/>
          <w:color w:val="auto"/>
          <w:szCs w:val="24"/>
        </w:rPr>
        <w:t>Departamento comunicar os</w:t>
      </w:r>
      <w:r w:rsidR="00FC4863">
        <w:rPr>
          <w:rFonts w:ascii="Arial" w:hAnsi="Arial" w:cs="Arial"/>
          <w:color w:val="auto"/>
          <w:szCs w:val="24"/>
        </w:rPr>
        <w:t xml:space="preserve"> </w:t>
      </w:r>
      <w:r w:rsidR="009F674B" w:rsidRPr="005C51B1">
        <w:rPr>
          <w:rFonts w:ascii="Arial" w:hAnsi="Arial" w:cs="Arial"/>
          <w:color w:val="auto"/>
          <w:szCs w:val="24"/>
        </w:rPr>
        <w:t>Coordenadores Regionais dos Narradores e divulgar pelo site do MT</w:t>
      </w:r>
      <w:r w:rsidR="00AF3659" w:rsidRPr="005C51B1">
        <w:rPr>
          <w:rFonts w:ascii="Arial" w:hAnsi="Arial" w:cs="Arial"/>
          <w:color w:val="auto"/>
          <w:szCs w:val="24"/>
        </w:rPr>
        <w:t>G/PR, com</w:t>
      </w:r>
      <w:r w:rsidRPr="005C51B1">
        <w:rPr>
          <w:rFonts w:ascii="Arial" w:hAnsi="Arial" w:cs="Arial"/>
          <w:color w:val="auto"/>
          <w:szCs w:val="24"/>
        </w:rPr>
        <w:t xml:space="preserve"> indicação do local dia e hora da aplicação do mesmo; </w:t>
      </w:r>
    </w:p>
    <w:p w:rsidR="00AF3659" w:rsidRPr="005C51B1" w:rsidRDefault="00BB1799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lastRenderedPageBreak/>
        <w:t>§2°- N</w:t>
      </w:r>
      <w:r w:rsidR="006F26A8" w:rsidRPr="005C51B1">
        <w:rPr>
          <w:rFonts w:ascii="Arial" w:hAnsi="Arial" w:cs="Arial"/>
          <w:color w:val="auto"/>
          <w:szCs w:val="24"/>
        </w:rPr>
        <w:t>o</w:t>
      </w:r>
      <w:r w:rsidRPr="005C51B1">
        <w:rPr>
          <w:rFonts w:ascii="Arial" w:hAnsi="Arial" w:cs="Arial"/>
          <w:color w:val="auto"/>
          <w:szCs w:val="24"/>
        </w:rPr>
        <w:t xml:space="preserve"> teste serão avaliados os conhecimentos sobre o</w:t>
      </w:r>
      <w:r w:rsidR="00AF3659" w:rsidRPr="005C51B1">
        <w:rPr>
          <w:rFonts w:ascii="Arial" w:hAnsi="Arial" w:cs="Arial"/>
          <w:color w:val="auto"/>
          <w:szCs w:val="24"/>
        </w:rPr>
        <w:t xml:space="preserve"> Estatuto Social do MTG/PR e seus Regulamentos</w:t>
      </w:r>
    </w:p>
    <w:p w:rsidR="00E4019E" w:rsidRPr="005C51B1" w:rsidRDefault="00BB1799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>§3</w:t>
      </w:r>
      <w:r w:rsidR="00AF3659" w:rsidRPr="005C51B1">
        <w:rPr>
          <w:rFonts w:ascii="Arial" w:hAnsi="Arial" w:cs="Arial"/>
          <w:color w:val="auto"/>
          <w:szCs w:val="24"/>
        </w:rPr>
        <w:t>º</w:t>
      </w:r>
      <w:r w:rsidRPr="005C51B1">
        <w:rPr>
          <w:rFonts w:ascii="Arial" w:hAnsi="Arial" w:cs="Arial"/>
          <w:color w:val="auto"/>
          <w:szCs w:val="24"/>
        </w:rPr>
        <w:t xml:space="preserve"> - Na aplicação do teste oral, será exigido que o candidato verbalize (expresse com palavras) uma ou mais situações de provas de rodeio que lhe forem apresentadas. </w:t>
      </w:r>
    </w:p>
    <w:p w:rsidR="00E4019E" w:rsidRPr="005C51B1" w:rsidRDefault="00BB1799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§4° - Na avaliação o candidato receberá uma nota que varia de zero (0) a </w:t>
      </w:r>
      <w:r w:rsidR="00B31BD5" w:rsidRPr="005C51B1">
        <w:rPr>
          <w:rFonts w:ascii="Arial" w:hAnsi="Arial" w:cs="Arial"/>
          <w:color w:val="auto"/>
          <w:szCs w:val="24"/>
        </w:rPr>
        <w:t>dez</w:t>
      </w:r>
      <w:r w:rsidRPr="005C51B1">
        <w:rPr>
          <w:rFonts w:ascii="Arial" w:hAnsi="Arial" w:cs="Arial"/>
          <w:color w:val="auto"/>
          <w:szCs w:val="24"/>
        </w:rPr>
        <w:t xml:space="preserve"> (</w:t>
      </w:r>
      <w:r w:rsidR="00B31BD5" w:rsidRPr="005C51B1">
        <w:rPr>
          <w:rFonts w:ascii="Arial" w:hAnsi="Arial" w:cs="Arial"/>
          <w:color w:val="auto"/>
          <w:szCs w:val="24"/>
        </w:rPr>
        <w:t>10</w:t>
      </w:r>
      <w:r w:rsidRPr="005C51B1">
        <w:rPr>
          <w:rFonts w:ascii="Arial" w:hAnsi="Arial" w:cs="Arial"/>
          <w:color w:val="auto"/>
          <w:szCs w:val="24"/>
        </w:rPr>
        <w:t xml:space="preserve">), sendo que para ser aprovado deverá atingir nota mínima de </w:t>
      </w:r>
      <w:r w:rsidR="00B31BD5" w:rsidRPr="005C51B1">
        <w:rPr>
          <w:rFonts w:ascii="Arial" w:hAnsi="Arial" w:cs="Arial"/>
          <w:color w:val="auto"/>
          <w:szCs w:val="24"/>
        </w:rPr>
        <w:t>seis</w:t>
      </w:r>
      <w:r w:rsidRPr="005C51B1">
        <w:rPr>
          <w:rFonts w:ascii="Arial" w:hAnsi="Arial" w:cs="Arial"/>
          <w:color w:val="auto"/>
          <w:szCs w:val="24"/>
        </w:rPr>
        <w:t xml:space="preserve"> (</w:t>
      </w:r>
      <w:r w:rsidR="00B31BD5" w:rsidRPr="005C51B1">
        <w:rPr>
          <w:rFonts w:ascii="Arial" w:hAnsi="Arial" w:cs="Arial"/>
          <w:color w:val="auto"/>
          <w:szCs w:val="24"/>
        </w:rPr>
        <w:t>06</w:t>
      </w:r>
      <w:r w:rsidRPr="005C51B1">
        <w:rPr>
          <w:rFonts w:ascii="Arial" w:hAnsi="Arial" w:cs="Arial"/>
          <w:color w:val="auto"/>
          <w:szCs w:val="24"/>
        </w:rPr>
        <w:t xml:space="preserve">). </w:t>
      </w:r>
    </w:p>
    <w:p w:rsidR="00E4019E" w:rsidRPr="005C51B1" w:rsidRDefault="00BB1799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>§5° - O candidato aprovado no teste</w:t>
      </w:r>
      <w:r w:rsidR="00FC4863" w:rsidRPr="005C51B1">
        <w:rPr>
          <w:rFonts w:ascii="Arial" w:hAnsi="Arial" w:cs="Arial"/>
          <w:color w:val="auto"/>
          <w:szCs w:val="24"/>
        </w:rPr>
        <w:t xml:space="preserve"> será</w:t>
      </w:r>
      <w:r w:rsidRPr="005C51B1">
        <w:rPr>
          <w:rFonts w:ascii="Arial" w:hAnsi="Arial" w:cs="Arial"/>
          <w:color w:val="auto"/>
          <w:szCs w:val="24"/>
        </w:rPr>
        <w:t xml:space="preserve"> credenciado provisoriamente e receberá a carteira de narrador, com validade de um ano, sendo que neste período poderá prestar seu trabalho de narração junto as entidades filiadas ao MTG, desde que acompanhado por um Narrador j</w:t>
      </w:r>
      <w:r w:rsidR="00AF3659" w:rsidRPr="005C51B1">
        <w:rPr>
          <w:rFonts w:ascii="Arial" w:hAnsi="Arial" w:cs="Arial"/>
          <w:color w:val="auto"/>
          <w:szCs w:val="24"/>
        </w:rPr>
        <w:t xml:space="preserve">á Credenciado no Departamento. </w:t>
      </w:r>
    </w:p>
    <w:p w:rsidR="00E4019E" w:rsidRPr="005C51B1" w:rsidRDefault="00FC4863" w:rsidP="00820B6C">
      <w:pPr>
        <w:spacing w:line="276" w:lineRule="auto"/>
        <w:ind w:right="0" w:firstLine="698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§6° - </w:t>
      </w:r>
      <w:r w:rsidR="00BB1799" w:rsidRPr="005C51B1">
        <w:rPr>
          <w:rFonts w:ascii="Arial" w:hAnsi="Arial" w:cs="Arial"/>
          <w:color w:val="auto"/>
          <w:szCs w:val="24"/>
        </w:rPr>
        <w:t xml:space="preserve">O candidato reprovado neste teste, somente poderá </w:t>
      </w:r>
      <w:r w:rsidRPr="005C51B1">
        <w:rPr>
          <w:rFonts w:ascii="Arial" w:hAnsi="Arial" w:cs="Arial"/>
          <w:color w:val="auto"/>
          <w:szCs w:val="24"/>
        </w:rPr>
        <w:t>refazê-lo</w:t>
      </w:r>
      <w:r w:rsidR="00BB1799" w:rsidRPr="005C51B1">
        <w:rPr>
          <w:rFonts w:ascii="Arial" w:hAnsi="Arial" w:cs="Arial"/>
          <w:color w:val="auto"/>
          <w:szCs w:val="24"/>
        </w:rPr>
        <w:t xml:space="preserve"> após um ano. </w:t>
      </w:r>
    </w:p>
    <w:p w:rsidR="00E4019E" w:rsidRPr="005C51B1" w:rsidRDefault="00E4019E" w:rsidP="00820B6C">
      <w:pPr>
        <w:spacing w:after="0" w:line="276" w:lineRule="auto"/>
        <w:ind w:left="840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6F26A8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A105B6" w:rsidRPr="005C51B1">
        <w:rPr>
          <w:rFonts w:ascii="Arial" w:hAnsi="Arial" w:cs="Arial"/>
          <w:color w:val="auto"/>
          <w:szCs w:val="24"/>
        </w:rPr>
        <w:t>6º</w:t>
      </w:r>
      <w:r w:rsidR="00BB1799" w:rsidRPr="005C51B1">
        <w:rPr>
          <w:rFonts w:ascii="Arial" w:hAnsi="Arial" w:cs="Arial"/>
          <w:color w:val="auto"/>
          <w:szCs w:val="24"/>
        </w:rPr>
        <w:t xml:space="preserve"> - Os </w:t>
      </w:r>
      <w:r w:rsidR="00AF3659" w:rsidRPr="005C51B1">
        <w:rPr>
          <w:rFonts w:ascii="Arial" w:hAnsi="Arial" w:cs="Arial"/>
          <w:color w:val="auto"/>
          <w:szCs w:val="24"/>
        </w:rPr>
        <w:t>Narradores Credenciados</w:t>
      </w:r>
      <w:r w:rsidR="00BB1799" w:rsidRPr="005C51B1">
        <w:rPr>
          <w:rFonts w:ascii="Arial" w:hAnsi="Arial" w:cs="Arial"/>
          <w:color w:val="auto"/>
          <w:szCs w:val="24"/>
        </w:rPr>
        <w:t xml:space="preserve"> provisoriamente no Departamento para obterem seu credenciamento definitivo deverão ser avaliados por membro</w:t>
      </w:r>
      <w:r w:rsidR="00AF3659" w:rsidRPr="005C51B1">
        <w:rPr>
          <w:rFonts w:ascii="Arial" w:hAnsi="Arial" w:cs="Arial"/>
          <w:color w:val="auto"/>
          <w:szCs w:val="24"/>
        </w:rPr>
        <w:t xml:space="preserve"> da Diretora do MTG/PR</w:t>
      </w:r>
      <w:r w:rsidR="00BB1799" w:rsidRPr="005C51B1">
        <w:rPr>
          <w:rFonts w:ascii="Arial" w:hAnsi="Arial" w:cs="Arial"/>
          <w:color w:val="auto"/>
          <w:szCs w:val="24"/>
        </w:rPr>
        <w:t xml:space="preserve"> trabalhando (narrando) em </w:t>
      </w:r>
      <w:r w:rsidR="00AF3659" w:rsidRPr="005C51B1">
        <w:rPr>
          <w:rFonts w:ascii="Arial" w:hAnsi="Arial" w:cs="Arial"/>
          <w:color w:val="auto"/>
          <w:szCs w:val="24"/>
        </w:rPr>
        <w:t>um</w:t>
      </w:r>
      <w:r w:rsidR="00BB1799" w:rsidRPr="005C51B1">
        <w:rPr>
          <w:rFonts w:ascii="Arial" w:hAnsi="Arial" w:cs="Arial"/>
          <w:color w:val="auto"/>
          <w:szCs w:val="24"/>
        </w:rPr>
        <w:t xml:space="preserve"> evento onde serão observados os seguintes quesitos: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Dicção;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Desembaraço;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Postura;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Linguajar;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Postura Ética;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Comunicabilidade;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Dinâmica da narração;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Autenticidade;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Estilo; </w:t>
      </w:r>
    </w:p>
    <w:p w:rsidR="00E4019E" w:rsidRPr="005C51B1" w:rsidRDefault="00BB1799" w:rsidP="00820B6C">
      <w:pPr>
        <w:numPr>
          <w:ilvl w:val="0"/>
          <w:numId w:val="20"/>
        </w:numPr>
        <w:spacing w:line="276" w:lineRule="auto"/>
        <w:ind w:right="0" w:hanging="36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Responsabilidade; </w:t>
      </w:r>
    </w:p>
    <w:p w:rsidR="00AF3659" w:rsidRPr="005C51B1" w:rsidRDefault="00AF3659" w:rsidP="00820B6C">
      <w:pPr>
        <w:spacing w:line="276" w:lineRule="auto"/>
        <w:ind w:left="1200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BB1799" w:rsidP="00820B6C">
      <w:pPr>
        <w:spacing w:line="276" w:lineRule="auto"/>
        <w:ind w:left="0" w:right="0" w:firstLine="426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     § 1º - Aos quesitos a que aludem </w:t>
      </w:r>
      <w:r w:rsidR="00FC4863" w:rsidRPr="005C51B1">
        <w:rPr>
          <w:rFonts w:ascii="Arial" w:hAnsi="Arial" w:cs="Arial"/>
          <w:color w:val="auto"/>
          <w:szCs w:val="24"/>
        </w:rPr>
        <w:t>as alíneas anteriores serão atribuídas</w:t>
      </w:r>
      <w:r w:rsidRPr="005C51B1">
        <w:rPr>
          <w:rFonts w:ascii="Arial" w:hAnsi="Arial" w:cs="Arial"/>
          <w:color w:val="auto"/>
          <w:szCs w:val="24"/>
        </w:rPr>
        <w:t xml:space="preserve"> uma pontuação que varia de zero (0) a </w:t>
      </w:r>
      <w:r w:rsidR="00B31BD5" w:rsidRPr="005C51B1">
        <w:rPr>
          <w:rFonts w:ascii="Arial" w:hAnsi="Arial" w:cs="Arial"/>
          <w:color w:val="auto"/>
          <w:szCs w:val="24"/>
        </w:rPr>
        <w:t>dez</w:t>
      </w:r>
      <w:r w:rsidRPr="005C51B1">
        <w:rPr>
          <w:rFonts w:ascii="Arial" w:hAnsi="Arial" w:cs="Arial"/>
          <w:color w:val="auto"/>
          <w:szCs w:val="24"/>
        </w:rPr>
        <w:t xml:space="preserve"> (</w:t>
      </w:r>
      <w:r w:rsidR="00B31BD5" w:rsidRPr="005C51B1">
        <w:rPr>
          <w:rFonts w:ascii="Arial" w:hAnsi="Arial" w:cs="Arial"/>
          <w:color w:val="auto"/>
          <w:szCs w:val="24"/>
        </w:rPr>
        <w:t>10</w:t>
      </w:r>
      <w:r w:rsidRPr="005C51B1">
        <w:rPr>
          <w:rFonts w:ascii="Arial" w:hAnsi="Arial" w:cs="Arial"/>
          <w:color w:val="auto"/>
          <w:szCs w:val="24"/>
        </w:rPr>
        <w:t xml:space="preserve">), devendo o candidato, para ser aprovado, atingir no mínimo </w:t>
      </w:r>
      <w:r w:rsidR="00B31BD5" w:rsidRPr="005C51B1">
        <w:rPr>
          <w:rFonts w:ascii="Arial" w:hAnsi="Arial" w:cs="Arial"/>
          <w:color w:val="auto"/>
          <w:szCs w:val="24"/>
        </w:rPr>
        <w:t>seis</w:t>
      </w:r>
      <w:r w:rsidRPr="005C51B1">
        <w:rPr>
          <w:rFonts w:ascii="Arial" w:hAnsi="Arial" w:cs="Arial"/>
          <w:color w:val="auto"/>
          <w:szCs w:val="24"/>
        </w:rPr>
        <w:t xml:space="preserve"> (</w:t>
      </w:r>
      <w:r w:rsidR="00B31BD5" w:rsidRPr="005C51B1">
        <w:rPr>
          <w:rFonts w:ascii="Arial" w:hAnsi="Arial" w:cs="Arial"/>
          <w:color w:val="auto"/>
          <w:szCs w:val="24"/>
        </w:rPr>
        <w:t>06</w:t>
      </w:r>
      <w:r w:rsidRPr="005C51B1">
        <w:rPr>
          <w:rFonts w:ascii="Arial" w:hAnsi="Arial" w:cs="Arial"/>
          <w:color w:val="auto"/>
          <w:szCs w:val="24"/>
        </w:rPr>
        <w:t xml:space="preserve">) pontos em cada quesito. </w:t>
      </w:r>
    </w:p>
    <w:p w:rsidR="00E4019E" w:rsidRPr="005C51B1" w:rsidRDefault="00BB1799" w:rsidP="00820B6C">
      <w:pPr>
        <w:spacing w:line="276" w:lineRule="auto"/>
        <w:ind w:left="0" w:right="0" w:firstLine="426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 §2° - </w:t>
      </w:r>
      <w:r w:rsidR="00AF3659" w:rsidRPr="005C51B1">
        <w:rPr>
          <w:rFonts w:ascii="Arial" w:hAnsi="Arial" w:cs="Arial"/>
          <w:color w:val="auto"/>
          <w:szCs w:val="24"/>
        </w:rPr>
        <w:t>No evento</w:t>
      </w:r>
      <w:r w:rsidRPr="005C51B1">
        <w:rPr>
          <w:rFonts w:ascii="Arial" w:hAnsi="Arial" w:cs="Arial"/>
          <w:color w:val="auto"/>
          <w:szCs w:val="24"/>
        </w:rPr>
        <w:t xml:space="preserve"> o narrador deverá ser avaliado narrando além da prova de laço </w:t>
      </w:r>
      <w:r w:rsidR="00AF3659" w:rsidRPr="005C51B1">
        <w:rPr>
          <w:rFonts w:ascii="Arial" w:hAnsi="Arial" w:cs="Arial"/>
          <w:color w:val="auto"/>
          <w:szCs w:val="24"/>
        </w:rPr>
        <w:t>mais uma prova campeira constante no Regulamento Campeiro do MTG/PR</w:t>
      </w:r>
    </w:p>
    <w:p w:rsidR="00E4019E" w:rsidRPr="005C51B1" w:rsidRDefault="00BB1799" w:rsidP="00820B6C">
      <w:pPr>
        <w:spacing w:line="276" w:lineRule="auto"/>
        <w:ind w:left="0" w:right="0" w:firstLine="426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§3° - Terminado o evento onde o candidato foi avaliado </w:t>
      </w:r>
      <w:r w:rsidR="00AF3659" w:rsidRPr="005C51B1">
        <w:rPr>
          <w:rFonts w:ascii="Arial" w:hAnsi="Arial" w:cs="Arial"/>
          <w:color w:val="auto"/>
          <w:szCs w:val="24"/>
        </w:rPr>
        <w:t xml:space="preserve">o Departamento Estadual de Narradores </w:t>
      </w:r>
      <w:r w:rsidRPr="005C51B1">
        <w:rPr>
          <w:rFonts w:ascii="Arial" w:hAnsi="Arial" w:cs="Arial"/>
          <w:color w:val="auto"/>
          <w:szCs w:val="24"/>
        </w:rPr>
        <w:t xml:space="preserve">terá o prazo máximo de </w:t>
      </w:r>
      <w:r w:rsidR="00B31BD5" w:rsidRPr="005C51B1">
        <w:rPr>
          <w:rFonts w:ascii="Arial" w:hAnsi="Arial" w:cs="Arial"/>
          <w:color w:val="auto"/>
          <w:szCs w:val="24"/>
        </w:rPr>
        <w:t>10</w:t>
      </w:r>
      <w:r w:rsidRPr="005C51B1">
        <w:rPr>
          <w:rFonts w:ascii="Arial" w:hAnsi="Arial" w:cs="Arial"/>
          <w:color w:val="auto"/>
          <w:szCs w:val="24"/>
        </w:rPr>
        <w:t xml:space="preserve"> (</w:t>
      </w:r>
      <w:r w:rsidR="00B31BD5" w:rsidRPr="005C51B1">
        <w:rPr>
          <w:rFonts w:ascii="Arial" w:hAnsi="Arial" w:cs="Arial"/>
          <w:color w:val="auto"/>
          <w:szCs w:val="24"/>
        </w:rPr>
        <w:t>10</w:t>
      </w:r>
      <w:r w:rsidRPr="005C51B1">
        <w:rPr>
          <w:rFonts w:ascii="Arial" w:hAnsi="Arial" w:cs="Arial"/>
          <w:color w:val="auto"/>
          <w:szCs w:val="24"/>
        </w:rPr>
        <w:t>) dias para encaminhar o resultado da avaliação</w:t>
      </w:r>
      <w:r w:rsidR="00AF3659" w:rsidRPr="005C51B1">
        <w:rPr>
          <w:rFonts w:ascii="Arial" w:hAnsi="Arial" w:cs="Arial"/>
          <w:color w:val="auto"/>
          <w:szCs w:val="24"/>
        </w:rPr>
        <w:t>.</w:t>
      </w:r>
    </w:p>
    <w:p w:rsidR="006F26A8" w:rsidRPr="005C51B1" w:rsidRDefault="006F26A8" w:rsidP="00820B6C">
      <w:pPr>
        <w:spacing w:line="276" w:lineRule="auto"/>
        <w:ind w:left="0" w:right="0" w:firstLine="426"/>
        <w:rPr>
          <w:rFonts w:ascii="Arial" w:hAnsi="Arial" w:cs="Arial"/>
          <w:color w:val="auto"/>
          <w:szCs w:val="24"/>
        </w:rPr>
      </w:pPr>
    </w:p>
    <w:p w:rsidR="00E4019E" w:rsidRPr="005C51B1" w:rsidRDefault="006F26A8" w:rsidP="00820B6C">
      <w:pPr>
        <w:spacing w:line="276" w:lineRule="auto"/>
        <w:ind w:left="-15" w:right="0" w:firstLine="72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lastRenderedPageBreak/>
        <w:t xml:space="preserve">Art. </w:t>
      </w:r>
      <w:r w:rsidR="00A105B6" w:rsidRPr="005C51B1">
        <w:rPr>
          <w:rFonts w:ascii="Arial" w:hAnsi="Arial" w:cs="Arial"/>
          <w:color w:val="auto"/>
          <w:szCs w:val="24"/>
        </w:rPr>
        <w:t>7º</w:t>
      </w:r>
      <w:r w:rsidR="00BB1799" w:rsidRPr="005C51B1">
        <w:rPr>
          <w:rFonts w:ascii="Arial" w:hAnsi="Arial" w:cs="Arial"/>
          <w:color w:val="auto"/>
          <w:szCs w:val="24"/>
        </w:rPr>
        <w:t xml:space="preserve"> - O credenciamento se evidencia pela expedição da carteira de narrador definitiva, que conterá o prazo de validade, não sendo </w:t>
      </w:r>
      <w:r w:rsidR="00FC4863" w:rsidRPr="005C51B1">
        <w:rPr>
          <w:rFonts w:ascii="Arial" w:hAnsi="Arial" w:cs="Arial"/>
          <w:color w:val="auto"/>
          <w:szCs w:val="24"/>
        </w:rPr>
        <w:t>necessária nova avaliação do narrador na renovação da mesma</w:t>
      </w:r>
      <w:r w:rsidR="00BB1799" w:rsidRPr="005C51B1">
        <w:rPr>
          <w:rFonts w:ascii="Arial" w:hAnsi="Arial" w:cs="Arial"/>
          <w:color w:val="auto"/>
          <w:szCs w:val="24"/>
        </w:rPr>
        <w:t xml:space="preserve">. </w:t>
      </w:r>
    </w:p>
    <w:p w:rsidR="00AF3659" w:rsidRPr="005C51B1" w:rsidRDefault="00AF3659" w:rsidP="00605160">
      <w:pPr>
        <w:spacing w:after="0" w:line="276" w:lineRule="auto"/>
        <w:ind w:left="848" w:right="120"/>
        <w:jc w:val="center"/>
        <w:rPr>
          <w:rFonts w:ascii="Arial" w:hAnsi="Arial" w:cs="Arial"/>
          <w:color w:val="auto"/>
          <w:szCs w:val="24"/>
        </w:rPr>
      </w:pPr>
    </w:p>
    <w:p w:rsidR="00820B6C" w:rsidRPr="005C51B1" w:rsidRDefault="00820B6C" w:rsidP="00605160">
      <w:pPr>
        <w:spacing w:after="0" w:line="276" w:lineRule="auto"/>
        <w:ind w:left="848" w:right="120"/>
        <w:jc w:val="center"/>
        <w:rPr>
          <w:rFonts w:ascii="Arial" w:hAnsi="Arial" w:cs="Arial"/>
          <w:color w:val="auto"/>
          <w:szCs w:val="24"/>
        </w:rPr>
      </w:pPr>
    </w:p>
    <w:p w:rsidR="00E4019E" w:rsidRPr="005C51B1" w:rsidRDefault="00E4019E" w:rsidP="00605160">
      <w:pPr>
        <w:spacing w:after="0" w:line="276" w:lineRule="auto"/>
        <w:ind w:left="840" w:right="0" w:firstLine="0"/>
        <w:jc w:val="center"/>
        <w:rPr>
          <w:rFonts w:ascii="Arial" w:hAnsi="Arial" w:cs="Arial"/>
          <w:color w:val="auto"/>
          <w:szCs w:val="24"/>
        </w:rPr>
      </w:pPr>
    </w:p>
    <w:p w:rsidR="00E4019E" w:rsidRPr="005C51B1" w:rsidRDefault="00BB1799" w:rsidP="00605160">
      <w:pPr>
        <w:spacing w:after="0" w:line="276" w:lineRule="auto"/>
        <w:ind w:right="0"/>
        <w:jc w:val="center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 xml:space="preserve">Capitulo </w:t>
      </w:r>
      <w:r w:rsidR="00A105B6" w:rsidRPr="005C51B1">
        <w:rPr>
          <w:rFonts w:ascii="Arial" w:hAnsi="Arial" w:cs="Arial"/>
          <w:b/>
          <w:color w:val="auto"/>
          <w:szCs w:val="24"/>
        </w:rPr>
        <w:t>III</w:t>
      </w:r>
    </w:p>
    <w:p w:rsidR="00E4019E" w:rsidRPr="005C51B1" w:rsidRDefault="00BB1799" w:rsidP="00605160">
      <w:pPr>
        <w:spacing w:after="0" w:line="276" w:lineRule="auto"/>
        <w:ind w:right="8"/>
        <w:jc w:val="center"/>
        <w:rPr>
          <w:rFonts w:ascii="Arial" w:hAnsi="Arial" w:cs="Arial"/>
          <w:b/>
          <w:color w:val="auto"/>
          <w:szCs w:val="24"/>
        </w:rPr>
      </w:pPr>
      <w:r w:rsidRPr="005C51B1">
        <w:rPr>
          <w:rFonts w:ascii="Arial" w:hAnsi="Arial" w:cs="Arial"/>
          <w:b/>
          <w:color w:val="auto"/>
          <w:szCs w:val="24"/>
        </w:rPr>
        <w:t>DISPOSIÇÕES GERAIS</w:t>
      </w:r>
    </w:p>
    <w:p w:rsidR="00605160" w:rsidRPr="005C51B1" w:rsidRDefault="00605160" w:rsidP="00605160">
      <w:pPr>
        <w:spacing w:after="0" w:line="276" w:lineRule="auto"/>
        <w:ind w:right="8"/>
        <w:jc w:val="center"/>
        <w:rPr>
          <w:rFonts w:ascii="Arial" w:hAnsi="Arial" w:cs="Arial"/>
          <w:color w:val="auto"/>
          <w:szCs w:val="24"/>
        </w:rPr>
      </w:pPr>
    </w:p>
    <w:p w:rsidR="00E4019E" w:rsidRPr="005C51B1" w:rsidRDefault="00E4019E" w:rsidP="00605160">
      <w:pPr>
        <w:spacing w:after="0" w:line="276" w:lineRule="auto"/>
        <w:ind w:left="840" w:right="0" w:firstLine="0"/>
        <w:jc w:val="center"/>
        <w:rPr>
          <w:rFonts w:ascii="Arial" w:hAnsi="Arial" w:cs="Arial"/>
          <w:color w:val="auto"/>
          <w:szCs w:val="24"/>
        </w:rPr>
      </w:pPr>
    </w:p>
    <w:p w:rsidR="00321055" w:rsidRPr="005C51B1" w:rsidRDefault="00820B6C" w:rsidP="00605160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A105B6" w:rsidRPr="005C51B1">
        <w:rPr>
          <w:rFonts w:ascii="Arial" w:hAnsi="Arial" w:cs="Arial"/>
          <w:color w:val="auto"/>
          <w:szCs w:val="24"/>
        </w:rPr>
        <w:t>8º</w:t>
      </w:r>
      <w:r w:rsidRPr="005C51B1">
        <w:rPr>
          <w:rFonts w:ascii="Arial" w:hAnsi="Arial" w:cs="Arial"/>
          <w:color w:val="auto"/>
          <w:szCs w:val="24"/>
        </w:rPr>
        <w:t>–</w:t>
      </w:r>
      <w:r w:rsidR="00321055" w:rsidRPr="005C51B1">
        <w:rPr>
          <w:rFonts w:ascii="Arial" w:hAnsi="Arial" w:cs="Arial"/>
          <w:color w:val="auto"/>
          <w:szCs w:val="24"/>
        </w:rPr>
        <w:t>Nos eventos oficiais será obrigatório DOIS narradores credenciados junto ao MTG, preferen</w:t>
      </w:r>
      <w:r w:rsidR="00605160" w:rsidRPr="005C51B1">
        <w:rPr>
          <w:rFonts w:ascii="Arial" w:hAnsi="Arial" w:cs="Arial"/>
          <w:color w:val="auto"/>
          <w:szCs w:val="24"/>
        </w:rPr>
        <w:t>cialmente da RT do CTG promotor.</w:t>
      </w:r>
    </w:p>
    <w:p w:rsidR="00605160" w:rsidRPr="005C51B1" w:rsidRDefault="00605160" w:rsidP="00605160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</w:p>
    <w:p w:rsidR="00E4019E" w:rsidRPr="005C51B1" w:rsidRDefault="00D372FB" w:rsidP="00820B6C">
      <w:pPr>
        <w:spacing w:after="0" w:line="276" w:lineRule="auto"/>
        <w:ind w:left="840" w:right="0" w:firstLine="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>Art. 9º - Os narradores oficiais do evento não poderão participar de Vaca Gorda, somente das armadas oficiais.</w:t>
      </w:r>
    </w:p>
    <w:p w:rsidR="00D372FB" w:rsidRPr="005C51B1" w:rsidRDefault="00D372FB" w:rsidP="00820B6C">
      <w:pPr>
        <w:spacing w:after="0" w:line="276" w:lineRule="auto"/>
        <w:ind w:left="840" w:right="0" w:firstLine="0"/>
        <w:rPr>
          <w:rFonts w:ascii="Arial" w:hAnsi="Arial" w:cs="Arial"/>
          <w:color w:val="auto"/>
          <w:szCs w:val="24"/>
        </w:rPr>
      </w:pPr>
    </w:p>
    <w:p w:rsidR="00E4019E" w:rsidRPr="005C51B1" w:rsidRDefault="00BB1799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D372FB" w:rsidRPr="005C51B1">
        <w:rPr>
          <w:rFonts w:ascii="Arial" w:hAnsi="Arial" w:cs="Arial"/>
          <w:color w:val="auto"/>
          <w:szCs w:val="24"/>
        </w:rPr>
        <w:t>10</w:t>
      </w:r>
      <w:r w:rsidR="00A105B6" w:rsidRPr="005C51B1">
        <w:rPr>
          <w:rFonts w:ascii="Arial" w:hAnsi="Arial" w:cs="Arial"/>
          <w:color w:val="auto"/>
          <w:szCs w:val="24"/>
        </w:rPr>
        <w:t>º</w:t>
      </w:r>
      <w:r w:rsidRPr="005C51B1">
        <w:rPr>
          <w:rFonts w:ascii="Arial" w:hAnsi="Arial" w:cs="Arial"/>
          <w:color w:val="auto"/>
          <w:szCs w:val="24"/>
        </w:rPr>
        <w:t xml:space="preserve"> - O presente regimen</w:t>
      </w:r>
      <w:r w:rsidR="00140EFB" w:rsidRPr="005C51B1">
        <w:rPr>
          <w:rFonts w:ascii="Arial" w:hAnsi="Arial" w:cs="Arial"/>
          <w:color w:val="auto"/>
          <w:szCs w:val="24"/>
        </w:rPr>
        <w:t>to somente poderá ser alterado na</w:t>
      </w:r>
      <w:r w:rsidR="00FC4863">
        <w:rPr>
          <w:rFonts w:ascii="Arial" w:hAnsi="Arial" w:cs="Arial"/>
          <w:color w:val="auto"/>
          <w:szCs w:val="24"/>
        </w:rPr>
        <w:t xml:space="preserve"> </w:t>
      </w:r>
      <w:r w:rsidR="00A105B6" w:rsidRPr="005C51B1">
        <w:rPr>
          <w:rFonts w:ascii="Arial" w:hAnsi="Arial" w:cs="Arial"/>
          <w:color w:val="auto"/>
          <w:szCs w:val="24"/>
        </w:rPr>
        <w:t>Convenção Tradicionalista</w:t>
      </w:r>
      <w:r w:rsidR="00140EFB" w:rsidRPr="005C51B1">
        <w:rPr>
          <w:rFonts w:ascii="Arial" w:hAnsi="Arial" w:cs="Arial"/>
          <w:color w:val="auto"/>
          <w:szCs w:val="24"/>
        </w:rPr>
        <w:t xml:space="preserve"> Gaúcha do MTG/PR.</w:t>
      </w:r>
    </w:p>
    <w:p w:rsidR="00820B6C" w:rsidRPr="005C51B1" w:rsidRDefault="00820B6C" w:rsidP="00820B6C">
      <w:pPr>
        <w:spacing w:line="276" w:lineRule="auto"/>
        <w:ind w:left="-15" w:right="0" w:firstLine="840"/>
        <w:rPr>
          <w:rFonts w:ascii="Arial" w:hAnsi="Arial" w:cs="Arial"/>
          <w:color w:val="auto"/>
          <w:szCs w:val="24"/>
        </w:rPr>
      </w:pPr>
    </w:p>
    <w:p w:rsidR="005C51B1" w:rsidRPr="005C51B1" w:rsidRDefault="00A105B6" w:rsidP="005C51B1">
      <w:pPr>
        <w:spacing w:before="100" w:beforeAutospacing="1" w:after="100" w:afterAutospacing="1"/>
        <w:rPr>
          <w:rFonts w:ascii="Arial" w:hAnsi="Arial" w:cs="Arial"/>
          <w:color w:val="auto"/>
        </w:rPr>
      </w:pPr>
      <w:r w:rsidRPr="005C51B1">
        <w:rPr>
          <w:rFonts w:ascii="Arial" w:hAnsi="Arial" w:cs="Arial"/>
          <w:color w:val="auto"/>
          <w:szCs w:val="24"/>
        </w:rPr>
        <w:t xml:space="preserve">Art. </w:t>
      </w:r>
      <w:r w:rsidR="00D372FB" w:rsidRPr="005C51B1">
        <w:rPr>
          <w:rFonts w:ascii="Arial" w:hAnsi="Arial" w:cs="Arial"/>
          <w:color w:val="auto"/>
          <w:szCs w:val="24"/>
        </w:rPr>
        <w:t>11</w:t>
      </w:r>
      <w:r w:rsidR="00BB1799" w:rsidRPr="005C51B1">
        <w:rPr>
          <w:rFonts w:ascii="Arial" w:hAnsi="Arial" w:cs="Arial"/>
          <w:color w:val="auto"/>
          <w:szCs w:val="24"/>
        </w:rPr>
        <w:t xml:space="preserve"> - Este regimento interno foi aprovado </w:t>
      </w:r>
      <w:r w:rsidR="005C51B1" w:rsidRPr="005C51B1">
        <w:rPr>
          <w:rFonts w:ascii="Arial" w:hAnsi="Arial" w:cs="Arial"/>
          <w:color w:val="auto"/>
          <w:szCs w:val="24"/>
        </w:rPr>
        <w:t xml:space="preserve">na </w:t>
      </w:r>
      <w:r w:rsidR="005C51B1" w:rsidRPr="005C51B1">
        <w:rPr>
          <w:rFonts w:ascii="Arial" w:hAnsi="Arial" w:cs="Arial"/>
          <w:bCs/>
          <w:color w:val="auto"/>
        </w:rPr>
        <w:t>30ª Convenção Tradicionalista realizada nos dias 25 de março de 2017, na cidade de Planalto, CTG Guardião do Pago, 11ª RT</w:t>
      </w:r>
      <w:r w:rsidR="005C51B1" w:rsidRPr="005C51B1">
        <w:rPr>
          <w:rFonts w:ascii="Arial" w:hAnsi="Arial" w:cs="Arial"/>
          <w:color w:val="auto"/>
        </w:rPr>
        <w:t>, e revisado no dia 15 de novembro de 2017, na cidade de Guarapuava, CTG Fogo de Chão, 3ª RT</w:t>
      </w:r>
    </w:p>
    <w:p w:rsidR="005C51B1" w:rsidRPr="005C51B1" w:rsidRDefault="005C51B1" w:rsidP="005C51B1">
      <w:pPr>
        <w:spacing w:before="100" w:beforeAutospacing="1" w:after="100" w:afterAutospacing="1"/>
        <w:jc w:val="right"/>
        <w:rPr>
          <w:rFonts w:ascii="Arial" w:hAnsi="Arial" w:cs="Arial"/>
          <w:color w:val="auto"/>
        </w:rPr>
      </w:pPr>
      <w:r w:rsidRPr="005C51B1">
        <w:rPr>
          <w:rFonts w:ascii="Arial" w:hAnsi="Arial" w:cs="Arial"/>
          <w:color w:val="auto"/>
        </w:rPr>
        <w:t>Guarapuava, 15 de novembro de 2017</w:t>
      </w:r>
    </w:p>
    <w:p w:rsidR="005C51B1" w:rsidRPr="005C51B1" w:rsidRDefault="005C51B1" w:rsidP="005C51B1">
      <w:pPr>
        <w:spacing w:before="100" w:beforeAutospacing="1" w:after="100" w:afterAutospacing="1"/>
        <w:jc w:val="right"/>
        <w:rPr>
          <w:rFonts w:ascii="Arial" w:hAnsi="Arial" w:cs="Arial"/>
          <w:color w:val="auto"/>
        </w:rPr>
      </w:pPr>
    </w:p>
    <w:p w:rsidR="005C51B1" w:rsidRPr="005C51B1" w:rsidRDefault="005C51B1" w:rsidP="005C51B1">
      <w:pPr>
        <w:spacing w:line="360" w:lineRule="auto"/>
        <w:rPr>
          <w:rFonts w:ascii="Arial" w:hAnsi="Arial" w:cs="Arial"/>
          <w:color w:val="auto"/>
        </w:rPr>
      </w:pPr>
      <w:r w:rsidRPr="005C51B1">
        <w:rPr>
          <w:rFonts w:ascii="Arial" w:hAnsi="Arial" w:cs="Arial"/>
          <w:color w:val="auto"/>
        </w:rPr>
        <w:t>Rogério Antônio Pankievicz – Patrão do MTG-PR</w:t>
      </w:r>
    </w:p>
    <w:p w:rsidR="005C51B1" w:rsidRPr="005C51B1" w:rsidRDefault="005C51B1" w:rsidP="005C51B1">
      <w:pPr>
        <w:spacing w:line="360" w:lineRule="auto"/>
        <w:rPr>
          <w:rFonts w:ascii="Arial" w:hAnsi="Arial" w:cs="Arial"/>
          <w:color w:val="auto"/>
        </w:rPr>
      </w:pPr>
      <w:r w:rsidRPr="005C51B1">
        <w:rPr>
          <w:rFonts w:ascii="Arial" w:hAnsi="Arial" w:cs="Arial"/>
          <w:color w:val="auto"/>
        </w:rPr>
        <w:t>Marcelo Rufato – Presidente do Conselho de Vaqueanos do MTG-PR.</w:t>
      </w:r>
    </w:p>
    <w:p w:rsidR="005C51B1" w:rsidRPr="005C51B1" w:rsidRDefault="005C51B1" w:rsidP="005C51B1">
      <w:pPr>
        <w:spacing w:line="360" w:lineRule="auto"/>
        <w:rPr>
          <w:rFonts w:ascii="Arial" w:hAnsi="Arial" w:cs="Arial"/>
          <w:color w:val="auto"/>
        </w:rPr>
      </w:pPr>
      <w:r w:rsidRPr="005C51B1">
        <w:rPr>
          <w:rFonts w:ascii="Arial" w:hAnsi="Arial" w:cs="Arial"/>
          <w:color w:val="auto"/>
        </w:rPr>
        <w:t>Milton Daniel Redivo – Diretor do Departamento de Narradores do MTG/PR</w:t>
      </w:r>
    </w:p>
    <w:p w:rsidR="005C51B1" w:rsidRPr="005C51B1" w:rsidRDefault="005C51B1" w:rsidP="005C51B1">
      <w:pPr>
        <w:rPr>
          <w:rFonts w:ascii="Arial" w:hAnsi="Arial" w:cs="Arial"/>
          <w:color w:val="auto"/>
        </w:rPr>
      </w:pPr>
    </w:p>
    <w:p w:rsidR="005C51B1" w:rsidRPr="005C51B1" w:rsidRDefault="005C51B1" w:rsidP="005C51B1">
      <w:pPr>
        <w:spacing w:line="360" w:lineRule="auto"/>
        <w:rPr>
          <w:rFonts w:ascii="Arial" w:hAnsi="Arial" w:cs="Arial"/>
          <w:color w:val="auto"/>
        </w:rPr>
      </w:pPr>
    </w:p>
    <w:sectPr w:rsidR="005C51B1" w:rsidRPr="005C51B1" w:rsidSect="00D103AC">
      <w:headerReference w:type="even" r:id="rId7"/>
      <w:headerReference w:type="default" r:id="rId8"/>
      <w:footerReference w:type="default" r:id="rId9"/>
      <w:headerReference w:type="first" r:id="rId10"/>
      <w:pgSz w:w="11906" w:h="16841"/>
      <w:pgMar w:top="722" w:right="1127" w:bottom="1347" w:left="1702" w:header="72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AB" w:rsidRDefault="00CE04AB">
      <w:pPr>
        <w:spacing w:after="0" w:line="240" w:lineRule="auto"/>
      </w:pPr>
      <w:r>
        <w:separator/>
      </w:r>
    </w:p>
  </w:endnote>
  <w:endnote w:type="continuationSeparator" w:id="1">
    <w:p w:rsidR="00CE04AB" w:rsidRDefault="00CE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A8" w:rsidRDefault="00D103AC" w:rsidP="006F26A8">
    <w:pPr>
      <w:pStyle w:val="Rodap"/>
      <w:jc w:val="center"/>
      <w:rPr>
        <w:b/>
        <w:bCs/>
        <w:i/>
        <w:iCs/>
      </w:rPr>
    </w:pPr>
    <w:r w:rsidRPr="00D103AC">
      <w:rPr>
        <w:b/>
        <w:bCs/>
        <w:noProof/>
        <w:sz w:val="20"/>
      </w:rPr>
      <w:pict>
        <v:line id="Conector reto 2" o:spid="_x0000_s4097" style="position:absolute;left:0;text-align:left;z-index:-251658240;visibility:visible" from="7pt,13.15pt" to="501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nTGwIAADIEAAAOAAAAZHJzL2Uyb0RvYy54bWysU9uO2yAQfa/Uf0C8J76sc1krzqqyk75s&#10;u5F2+wEEcIyKAQGJE1X99w7komz7UlX1Ax6YmcOZmcPi6dhLdODWCa0qnI1TjLiimgm1q/C3t/Vo&#10;jpHzRDEiteIVPnGHn5YfPywGU/Jcd1oybhGAKFcOpsKd96ZMEkc73hM31oYrcLba9sTD1u4SZskA&#10;6L1M8jSdJoO2zFhNuXNw2pydeBnx25ZT/9K2jnskKwzcfFxtXLdhTZYLUu4sMZ2gFxrkH1j0RCi4&#10;9AbVEE/Q3oo/oHpBrXa69WOq+0S3raA81gDVZOlv1bx2xPBYCzTHmVub3P+DpV8PG4sEq3COkSI9&#10;jKiGQVGvLbLca5SHFg3GlRBZq40NRdKjejXPmn53SOm6I2rHI9W3k4H8LGQk71LCxhm4aDt80Qxi&#10;yN7r2K9ja/sACZ1AxziW020s/OgRhcNpPps+FDA9evUlpLwmGuv8Z657FIwKS6FCx0hJDs/OByKk&#10;vIaEY6XXQso4danQAGXPJ7NJzHBaCha8Ic7Z3baWFh0ICGeehi+WBZ77MKv3ikW0jhO2utieCHm2&#10;4XapAh7UAnwu1lkZPx7Tx9V8NS9GRT5djYq0aUaf1nUxmq6z2aR5aOq6yX4GallRdoIxrgK7q0qz&#10;4u9UcHkvZ33ddHrrQ/IePTYMyF7/kXQcZpjfWQlbzU4bex0yCDMGXx5RUP79Huz7p778BQAA//8D&#10;AFBLAwQUAAYACAAAACEAf8YUk9wAAAAJAQAADwAAAGRycy9kb3ducmV2LnhtbEyPwU7DMBBE70j8&#10;g7VI3KhNCBVK41QVopU4UkCiNzc2cRR7HWKnCX/PVhzgODurmTflevaOncwQ24ASbhcCmME66BYb&#10;CW+v25sHYDEp1MoFNBK+TYR1dXlRqkKHCV/MaZ8aRiEYCyXBptQXnMfaGq/iIvQGyfsMg1eJ5NBw&#10;PaiJwr3jmRBL7lWL1GBVbx6tqbv96Klkm9unaZx3X53r3p83B//R3e+kvL6aNytgyczp7xnO+IQO&#10;FTEdw4g6Mkc6pylJQra8A3b2hchyYMffC69K/n9B9QMAAP//AwBQSwECLQAUAAYACAAAACEAtoM4&#10;kv4AAADhAQAAEwAAAAAAAAAAAAAAAAAAAAAAW0NvbnRlbnRfVHlwZXNdLnhtbFBLAQItABQABgAI&#10;AAAAIQA4/SH/1gAAAJQBAAALAAAAAAAAAAAAAAAAAC8BAABfcmVscy8ucmVsc1BLAQItABQABgAI&#10;AAAAIQBnIKnTGwIAADIEAAAOAAAAAAAAAAAAAAAAAC4CAABkcnMvZTJvRG9jLnhtbFBLAQItABQA&#10;BgAIAAAAIQB/xhST3AAAAAkBAAAPAAAAAAAAAAAAAAAAAHUEAABkcnMvZG93bnJldi54bWxQSwUG&#10;AAAAAAQABADzAAAAfgUAAAAA&#10;" strokecolor="maroon" strokeweight="2.25pt"/>
      </w:pict>
    </w:r>
    <w:r w:rsidR="006F26A8" w:rsidRPr="00D22DC2">
      <w:rPr>
        <w:b/>
        <w:bCs/>
        <w:i/>
        <w:iCs/>
      </w:rPr>
      <w:t>“Povo Sem Tradição Morre a Cada Geração</w:t>
    </w:r>
  </w:p>
  <w:p w:rsidR="006F26A8" w:rsidRDefault="006F26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AB" w:rsidRDefault="00CE04AB">
      <w:pPr>
        <w:spacing w:after="0" w:line="240" w:lineRule="auto"/>
      </w:pPr>
      <w:r>
        <w:separator/>
      </w:r>
    </w:p>
  </w:footnote>
  <w:footnote w:type="continuationSeparator" w:id="1">
    <w:p w:rsidR="00CE04AB" w:rsidRDefault="00CE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9E" w:rsidRDefault="00D103AC">
    <w:pPr>
      <w:spacing w:after="0" w:line="259" w:lineRule="auto"/>
      <w:ind w:left="0" w:right="0" w:firstLine="0"/>
      <w:jc w:val="left"/>
    </w:pPr>
    <w:r>
      <w:fldChar w:fldCharType="begin"/>
    </w:r>
    <w:r w:rsidR="00BB1799">
      <w:instrText xml:space="preserve"> PAGE   \* MERGEFORMAT </w:instrText>
    </w:r>
    <w:r>
      <w:fldChar w:fldCharType="separate"/>
    </w:r>
    <w:r w:rsidR="00BB1799">
      <w:t>1</w:t>
    </w:r>
    <w:r>
      <w:fldChar w:fldCharType="end"/>
    </w:r>
  </w:p>
  <w:p w:rsidR="00E4019E" w:rsidRDefault="00E4019E">
    <w:pPr>
      <w:spacing w:after="0" w:line="259" w:lineRule="auto"/>
      <w:ind w:left="0" w:right="303" w:firstLine="0"/>
      <w:jc w:val="right"/>
    </w:pPr>
  </w:p>
  <w:p w:rsidR="00E4019E" w:rsidRDefault="00E4019E">
    <w:pPr>
      <w:spacing w:after="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A8" w:rsidRDefault="006F26A8" w:rsidP="006F26A8">
    <w:pPr>
      <w:pStyle w:val="Cabealho"/>
      <w:rPr>
        <w:sz w:val="72"/>
        <w:szCs w:val="72"/>
      </w:rPr>
    </w:pPr>
    <w:r>
      <w:rPr>
        <w:noProof/>
        <w:sz w:val="8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-147320</wp:posOffset>
          </wp:positionH>
          <wp:positionV relativeFrom="margin">
            <wp:posOffset>-1290955</wp:posOffset>
          </wp:positionV>
          <wp:extent cx="533400" cy="971550"/>
          <wp:effectExtent l="0" t="0" r="0" b="0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9113"/>
                  <a:stretch/>
                </pic:blipFill>
                <pic:spPr bwMode="auto">
                  <a:xfrm>
                    <a:off x="0" y="0"/>
                    <a:ext cx="533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D22DC2">
      <w:rPr>
        <w:sz w:val="72"/>
        <w:szCs w:val="72"/>
      </w:rPr>
      <w:t>MTG DO PARANÁ</w:t>
    </w:r>
  </w:p>
  <w:p w:rsidR="006F26A8" w:rsidRPr="006F26A8" w:rsidRDefault="006F26A8" w:rsidP="006F26A8">
    <w:pPr>
      <w:pStyle w:val="Cabealho"/>
      <w:rPr>
        <w:sz w:val="72"/>
        <w:szCs w:val="72"/>
      </w:rPr>
    </w:pPr>
    <w:r w:rsidRPr="00D22DC2">
      <w:rPr>
        <w:b/>
        <w:bCs/>
        <w:sz w:val="26"/>
      </w:rPr>
      <w:t>MOVIMENTO TRADICIONALISTA GAÚCHO DO PARANÁ</w:t>
    </w:r>
  </w:p>
  <w:p w:rsidR="006F26A8" w:rsidRDefault="006F26A8" w:rsidP="006F26A8">
    <w:pPr>
      <w:pStyle w:val="Cabealho"/>
      <w:jc w:val="center"/>
      <w:rPr>
        <w:b/>
        <w:bCs/>
      </w:rPr>
    </w:pPr>
  </w:p>
  <w:p w:rsidR="00E4019E" w:rsidRDefault="00E4019E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9E" w:rsidRDefault="00D103AC">
    <w:pPr>
      <w:spacing w:after="0" w:line="259" w:lineRule="auto"/>
      <w:ind w:left="0" w:right="0" w:firstLine="0"/>
      <w:jc w:val="left"/>
    </w:pPr>
    <w:r>
      <w:fldChar w:fldCharType="begin"/>
    </w:r>
    <w:r w:rsidR="00BB1799">
      <w:instrText xml:space="preserve"> PAGE   \* MERGEFORMAT </w:instrText>
    </w:r>
    <w:r>
      <w:fldChar w:fldCharType="separate"/>
    </w:r>
    <w:r w:rsidR="00BB1799">
      <w:t>1</w:t>
    </w:r>
    <w:r>
      <w:fldChar w:fldCharType="end"/>
    </w:r>
  </w:p>
  <w:p w:rsidR="00E4019E" w:rsidRDefault="00E4019E">
    <w:pPr>
      <w:spacing w:after="0" w:line="259" w:lineRule="auto"/>
      <w:ind w:left="0" w:right="303" w:firstLine="0"/>
      <w:jc w:val="right"/>
    </w:pPr>
  </w:p>
  <w:p w:rsidR="00E4019E" w:rsidRDefault="00E4019E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EC4"/>
    <w:multiLevelType w:val="hybridMultilevel"/>
    <w:tmpl w:val="F9D64C52"/>
    <w:lvl w:ilvl="0" w:tplc="670EF51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3AF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A3B70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AD6B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866E6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03B9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0F624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25CE8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C350E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6A1AAF"/>
    <w:multiLevelType w:val="hybridMultilevel"/>
    <w:tmpl w:val="BAF4AB4C"/>
    <w:lvl w:ilvl="0" w:tplc="26A62B28">
      <w:start w:val="1"/>
      <w:numFmt w:val="upperRoman"/>
      <w:lvlText w:val="%1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EED2C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E37B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2E98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03A0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E6756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90E0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E8A4A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0363E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3F38F5"/>
    <w:multiLevelType w:val="hybridMultilevel"/>
    <w:tmpl w:val="881AD1CE"/>
    <w:lvl w:ilvl="0" w:tplc="7CF2F360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AFD8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0CF4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C616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E70D0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07F28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AC3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24E8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A894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1F1407"/>
    <w:multiLevelType w:val="hybridMultilevel"/>
    <w:tmpl w:val="F5B47C68"/>
    <w:lvl w:ilvl="0" w:tplc="14AC66E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40C04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8B84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0DEF6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A0780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0A26E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F9EC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04166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E8638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2C6A4A"/>
    <w:multiLevelType w:val="hybridMultilevel"/>
    <w:tmpl w:val="CC2E81DC"/>
    <w:lvl w:ilvl="0" w:tplc="62D64984">
      <w:start w:val="1"/>
      <w:numFmt w:val="upperRoman"/>
      <w:lvlText w:val="%1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EFEEE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260A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8404A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14DE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0FA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C068A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A570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86FB0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D509F"/>
    <w:multiLevelType w:val="hybridMultilevel"/>
    <w:tmpl w:val="60DA2338"/>
    <w:lvl w:ilvl="0" w:tplc="84BA5CD2">
      <w:start w:val="1"/>
      <w:numFmt w:val="upperRoman"/>
      <w:lvlText w:val="%1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AA5A4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44448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AF5EA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4F4BC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02BE6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4ABA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E530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886B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6E7BD0"/>
    <w:multiLevelType w:val="hybridMultilevel"/>
    <w:tmpl w:val="62A4C59C"/>
    <w:lvl w:ilvl="0" w:tplc="A9F4920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A81B2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C6F4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B14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AECE2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CCD6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AFAAC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83ED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68D1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975168"/>
    <w:multiLevelType w:val="hybridMultilevel"/>
    <w:tmpl w:val="81FAD4CC"/>
    <w:lvl w:ilvl="0" w:tplc="2042095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1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80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C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A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CC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2AA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C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AD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D350F1"/>
    <w:multiLevelType w:val="hybridMultilevel"/>
    <w:tmpl w:val="F0A80670"/>
    <w:lvl w:ilvl="0" w:tplc="4E06A43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23A9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05E98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64446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ADBB0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E6B56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8B8B0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CEA68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2B730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2F161B"/>
    <w:multiLevelType w:val="hybridMultilevel"/>
    <w:tmpl w:val="814CD224"/>
    <w:lvl w:ilvl="0" w:tplc="4ADA19CA">
      <w:start w:val="1"/>
      <w:numFmt w:val="upperRoman"/>
      <w:lvlText w:val="%1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E30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FB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663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EC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625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A30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2E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281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533681"/>
    <w:multiLevelType w:val="hybridMultilevel"/>
    <w:tmpl w:val="76447662"/>
    <w:lvl w:ilvl="0" w:tplc="107A7270">
      <w:start w:val="1"/>
      <w:numFmt w:val="upperRoman"/>
      <w:lvlText w:val="%1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9B18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2306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23B9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8A9FE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AE9F0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4E55C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E1BF8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6CD56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7C3069"/>
    <w:multiLevelType w:val="hybridMultilevel"/>
    <w:tmpl w:val="DD5EDE4A"/>
    <w:lvl w:ilvl="0" w:tplc="4052FCBC">
      <w:start w:val="1"/>
      <w:numFmt w:val="lowerLetter"/>
      <w:lvlText w:val="%1)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08B12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65874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3DD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ADB32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6977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DD22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8CCEA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EAFCC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A82654"/>
    <w:multiLevelType w:val="hybridMultilevel"/>
    <w:tmpl w:val="3252E85C"/>
    <w:lvl w:ilvl="0" w:tplc="AFF2697A">
      <w:start w:val="1"/>
      <w:numFmt w:val="lowerLetter"/>
      <w:lvlText w:val="%1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A36BA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81220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6794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CD06E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1488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86356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8CEBA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E59C8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685C73"/>
    <w:multiLevelType w:val="hybridMultilevel"/>
    <w:tmpl w:val="DCDEF272"/>
    <w:lvl w:ilvl="0" w:tplc="9064B5F8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C6FC8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21E8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89D2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A0642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522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4EB04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AD08A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4E2A4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002C8A"/>
    <w:multiLevelType w:val="hybridMultilevel"/>
    <w:tmpl w:val="AE245000"/>
    <w:lvl w:ilvl="0" w:tplc="A06CC862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0811E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EB3C4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6433A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3A20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C4AF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EF19C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8A7FC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4D68C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4250F8"/>
    <w:multiLevelType w:val="hybridMultilevel"/>
    <w:tmpl w:val="0638CEAA"/>
    <w:lvl w:ilvl="0" w:tplc="EA6E10C0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82282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2DD82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4EE36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02C4A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AAAB6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25BB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E8FC4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0CBD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766F9B"/>
    <w:multiLevelType w:val="hybridMultilevel"/>
    <w:tmpl w:val="A7C0E2C6"/>
    <w:lvl w:ilvl="0" w:tplc="6986BDB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09EDE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0CFA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2CC48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2F01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02E48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42D2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0CFC6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E53C0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2F0C58"/>
    <w:multiLevelType w:val="hybridMultilevel"/>
    <w:tmpl w:val="6DCEECE4"/>
    <w:lvl w:ilvl="0" w:tplc="6D748618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6A17C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0A00A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A2AA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EF200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A5AD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4B19E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A99DA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896AE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1972DC"/>
    <w:multiLevelType w:val="hybridMultilevel"/>
    <w:tmpl w:val="6DF4C9F4"/>
    <w:lvl w:ilvl="0" w:tplc="4BCEA67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BAB8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A795C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670D8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0CE8E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A1E16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0A052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A255A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AC8BA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563995"/>
    <w:multiLevelType w:val="hybridMultilevel"/>
    <w:tmpl w:val="9664ECA8"/>
    <w:lvl w:ilvl="0" w:tplc="937C9F4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4B048">
      <w:start w:val="1"/>
      <w:numFmt w:val="lowerLetter"/>
      <w:lvlText w:val="%2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AB530">
      <w:start w:val="1"/>
      <w:numFmt w:val="lowerRoman"/>
      <w:lvlText w:val="%3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A7856">
      <w:start w:val="1"/>
      <w:numFmt w:val="decimal"/>
      <w:lvlText w:val="%4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CBFCC">
      <w:start w:val="1"/>
      <w:numFmt w:val="lowerLetter"/>
      <w:lvlText w:val="%5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C35C6">
      <w:start w:val="1"/>
      <w:numFmt w:val="lowerRoman"/>
      <w:lvlText w:val="%6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4BE6C">
      <w:start w:val="1"/>
      <w:numFmt w:val="decimal"/>
      <w:lvlText w:val="%7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E5F08">
      <w:start w:val="1"/>
      <w:numFmt w:val="lowerLetter"/>
      <w:lvlText w:val="%8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C4DB6">
      <w:start w:val="1"/>
      <w:numFmt w:val="lowerRoman"/>
      <w:lvlText w:val="%9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7B1A29"/>
    <w:multiLevelType w:val="hybridMultilevel"/>
    <w:tmpl w:val="B1B4ED32"/>
    <w:lvl w:ilvl="0" w:tplc="4CEEAF00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8CBE0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E9F4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24504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8A71E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E05C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A8E26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4C50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A1BB6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BF7D52"/>
    <w:multiLevelType w:val="hybridMultilevel"/>
    <w:tmpl w:val="1724069A"/>
    <w:lvl w:ilvl="0" w:tplc="921A976E">
      <w:start w:val="5"/>
      <w:numFmt w:val="upperRoman"/>
      <w:lvlText w:val="%1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E4D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331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001D8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AFB5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8945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87EE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82A9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CD39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C2523F"/>
    <w:multiLevelType w:val="hybridMultilevel"/>
    <w:tmpl w:val="22D6D458"/>
    <w:lvl w:ilvl="0" w:tplc="C9A8EEAC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EF5CA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8F68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6BB4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42BD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0ABEE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67DB0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8532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E8BC0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587A91"/>
    <w:multiLevelType w:val="hybridMultilevel"/>
    <w:tmpl w:val="C206DC7C"/>
    <w:lvl w:ilvl="0" w:tplc="1BD667B0">
      <w:start w:val="1"/>
      <w:numFmt w:val="upperRoman"/>
      <w:lvlText w:val="%1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A117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C6930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488B4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7C5A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DEC8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09A0A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CDA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C38C8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B41C58"/>
    <w:multiLevelType w:val="hybridMultilevel"/>
    <w:tmpl w:val="16D09BC8"/>
    <w:lvl w:ilvl="0" w:tplc="E0C80002">
      <w:start w:val="1"/>
      <w:numFmt w:val="upperRoman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544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0598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8103A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ED4D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83AA2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46324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69876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E8EC6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6"/>
  </w:num>
  <w:num w:numId="5">
    <w:abstractNumId w:val="10"/>
  </w:num>
  <w:num w:numId="6">
    <w:abstractNumId w:val="21"/>
  </w:num>
  <w:num w:numId="7">
    <w:abstractNumId w:val="24"/>
  </w:num>
  <w:num w:numId="8">
    <w:abstractNumId w:val="18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11"/>
  </w:num>
  <w:num w:numId="18">
    <w:abstractNumId w:val="15"/>
  </w:num>
  <w:num w:numId="19">
    <w:abstractNumId w:val="20"/>
  </w:num>
  <w:num w:numId="20">
    <w:abstractNumId w:val="12"/>
  </w:num>
  <w:num w:numId="21">
    <w:abstractNumId w:val="22"/>
  </w:num>
  <w:num w:numId="22">
    <w:abstractNumId w:val="19"/>
  </w:num>
  <w:num w:numId="23">
    <w:abstractNumId w:val="13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019E"/>
    <w:rsid w:val="00010EEF"/>
    <w:rsid w:val="00140EFB"/>
    <w:rsid w:val="001B0810"/>
    <w:rsid w:val="002573D5"/>
    <w:rsid w:val="002832B7"/>
    <w:rsid w:val="00321055"/>
    <w:rsid w:val="00352FB5"/>
    <w:rsid w:val="00397D7E"/>
    <w:rsid w:val="005C51B1"/>
    <w:rsid w:val="0060349C"/>
    <w:rsid w:val="00605160"/>
    <w:rsid w:val="00623B3C"/>
    <w:rsid w:val="006F26A8"/>
    <w:rsid w:val="006F65A2"/>
    <w:rsid w:val="00724C29"/>
    <w:rsid w:val="00820B6C"/>
    <w:rsid w:val="0084233E"/>
    <w:rsid w:val="009C2D56"/>
    <w:rsid w:val="009F674B"/>
    <w:rsid w:val="00A105B6"/>
    <w:rsid w:val="00AF3659"/>
    <w:rsid w:val="00B31BD5"/>
    <w:rsid w:val="00BB1799"/>
    <w:rsid w:val="00CE04AB"/>
    <w:rsid w:val="00D103AC"/>
    <w:rsid w:val="00D372FB"/>
    <w:rsid w:val="00DF3274"/>
    <w:rsid w:val="00E4019E"/>
    <w:rsid w:val="00E82574"/>
    <w:rsid w:val="00E86897"/>
    <w:rsid w:val="00FC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AC"/>
    <w:pPr>
      <w:spacing w:after="6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1B0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810"/>
    <w:rPr>
      <w:rFonts w:ascii="Times New Roman" w:eastAsia="Times New Roman" w:hAnsi="Times New Roman" w:cs="Times New Roman"/>
      <w:color w:val="000000"/>
      <w:sz w:val="24"/>
    </w:rPr>
  </w:style>
  <w:style w:type="paragraph" w:styleId="SemEspaamento">
    <w:name w:val="No Spacing"/>
    <w:uiPriority w:val="1"/>
    <w:qFormat/>
    <w:rsid w:val="001B0810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rsid w:val="006F26A8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F26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CULTURAL GAÚCHA – MTG</vt:lpstr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CULTURAL GAÚCHA – MTG</dc:title>
  <dc:subject/>
  <dc:creator>.</dc:creator>
  <cp:keywords/>
  <cp:lastModifiedBy>Carlos</cp:lastModifiedBy>
  <cp:revision>6</cp:revision>
  <dcterms:created xsi:type="dcterms:W3CDTF">2018-04-25T01:13:00Z</dcterms:created>
  <dcterms:modified xsi:type="dcterms:W3CDTF">2018-04-26T12:01:00Z</dcterms:modified>
</cp:coreProperties>
</file>